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695E" w:rsidRDefault="001F3577">
      <w:pPr>
        <w:pStyle w:val="normal0"/>
      </w:pPr>
      <w:r>
        <w:rPr>
          <w:rFonts w:ascii="Calibri" w:eastAsia="Calibri" w:hAnsi="Calibri" w:cs="Calibri"/>
          <w:sz w:val="36"/>
          <w:szCs w:val="36"/>
        </w:rPr>
        <w:t>SWOT Analysis (Strengths, Weaknesses, Opportunities and Threats)</w:t>
      </w:r>
      <w:r w:rsidR="0032203D">
        <w:rPr>
          <w:rFonts w:ascii="Calibri" w:eastAsia="Calibri" w:hAnsi="Calibri" w:cs="Calibri"/>
          <w:sz w:val="36"/>
          <w:szCs w:val="36"/>
        </w:rPr>
        <w:t xml:space="preserve"> for visitor attractions</w:t>
      </w:r>
    </w:p>
    <w:p w:rsidR="0041695E" w:rsidRDefault="0041695E">
      <w:pPr>
        <w:pStyle w:val="normal0"/>
      </w:pPr>
    </w:p>
    <w:p w:rsidR="0041695E" w:rsidRDefault="001F3577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feel free to use and share this template.  </w:t>
      </w:r>
      <w:r w:rsidR="00C36012">
        <w:rPr>
          <w:rFonts w:ascii="Calibri" w:eastAsia="Calibri" w:hAnsi="Calibri" w:cs="Calibri"/>
          <w:sz w:val="24"/>
          <w:szCs w:val="24"/>
        </w:rPr>
        <w:t>We have often found that visitor attraction projects are very complex and when carrying out a SWOT Analysis it is benefi</w:t>
      </w:r>
      <w:r w:rsidR="00E50BEB">
        <w:rPr>
          <w:rFonts w:ascii="Calibri" w:eastAsia="Calibri" w:hAnsi="Calibri" w:cs="Calibri"/>
          <w:sz w:val="24"/>
          <w:szCs w:val="24"/>
        </w:rPr>
        <w:t>cial to consider the following categories</w:t>
      </w:r>
      <w:r w:rsidR="00C36012">
        <w:rPr>
          <w:rFonts w:ascii="Calibri" w:eastAsia="Calibri" w:hAnsi="Calibri" w:cs="Calibri"/>
          <w:sz w:val="24"/>
          <w:szCs w:val="24"/>
        </w:rPr>
        <w:t>: The visitor experience</w:t>
      </w:r>
      <w:r w:rsidR="00E50BEB">
        <w:rPr>
          <w:rFonts w:ascii="Calibri" w:eastAsia="Calibri" w:hAnsi="Calibri" w:cs="Calibri"/>
          <w:sz w:val="24"/>
          <w:szCs w:val="24"/>
        </w:rPr>
        <w:t>;</w:t>
      </w:r>
      <w:r w:rsidR="00C36012">
        <w:rPr>
          <w:rFonts w:ascii="Calibri" w:eastAsia="Calibri" w:hAnsi="Calibri" w:cs="Calibri"/>
          <w:sz w:val="24"/>
          <w:szCs w:val="24"/>
        </w:rPr>
        <w:t xml:space="preserve"> market factors</w:t>
      </w:r>
      <w:r w:rsidR="00E50BEB">
        <w:rPr>
          <w:rFonts w:ascii="Calibri" w:eastAsia="Calibri" w:hAnsi="Calibri" w:cs="Calibri"/>
          <w:sz w:val="24"/>
          <w:szCs w:val="24"/>
        </w:rPr>
        <w:t>;</w:t>
      </w:r>
      <w:r w:rsidR="00C36012">
        <w:rPr>
          <w:rFonts w:ascii="Calibri" w:eastAsia="Calibri" w:hAnsi="Calibri" w:cs="Calibri"/>
          <w:sz w:val="24"/>
          <w:szCs w:val="24"/>
        </w:rPr>
        <w:t xml:space="preserve"> operational considerations and market</w:t>
      </w:r>
      <w:r w:rsidR="00E50BEB">
        <w:rPr>
          <w:rFonts w:ascii="Calibri" w:eastAsia="Calibri" w:hAnsi="Calibri" w:cs="Calibri"/>
          <w:sz w:val="24"/>
          <w:szCs w:val="24"/>
        </w:rPr>
        <w:t>ing</w:t>
      </w:r>
      <w:r w:rsidR="00C36012">
        <w:rPr>
          <w:rFonts w:ascii="Calibri" w:eastAsia="Calibri" w:hAnsi="Calibri" w:cs="Calibri"/>
          <w:sz w:val="24"/>
          <w:szCs w:val="24"/>
        </w:rPr>
        <w:t xml:space="preserve"> dynamics.   </w:t>
      </w:r>
    </w:p>
    <w:p w:rsidR="00C36012" w:rsidRDefault="00C36012">
      <w:pPr>
        <w:pStyle w:val="normal0"/>
        <w:rPr>
          <w:rFonts w:ascii="Calibri" w:eastAsia="Calibri" w:hAnsi="Calibri" w:cs="Calibri"/>
          <w:sz w:val="24"/>
          <w:szCs w:val="24"/>
        </w:rPr>
      </w:pPr>
    </w:p>
    <w:p w:rsidR="00C36012" w:rsidRDefault="00C36012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example under the visitor experience </w:t>
      </w:r>
      <w:r w:rsidR="00E50BEB">
        <w:rPr>
          <w:rFonts w:ascii="Calibri" w:eastAsia="Calibri" w:hAnsi="Calibri" w:cs="Calibri"/>
          <w:sz w:val="24"/>
          <w:szCs w:val="24"/>
        </w:rPr>
        <w:t>category</w:t>
      </w:r>
      <w:r>
        <w:rPr>
          <w:rFonts w:ascii="Calibri" w:eastAsia="Calibri" w:hAnsi="Calibri" w:cs="Calibri"/>
          <w:sz w:val="24"/>
          <w:szCs w:val="24"/>
        </w:rPr>
        <w:t xml:space="preserve"> we would consider</w:t>
      </w:r>
      <w:r w:rsidR="004A03DD">
        <w:rPr>
          <w:rFonts w:ascii="Calibri" w:eastAsia="Calibri" w:hAnsi="Calibri" w:cs="Calibri"/>
          <w:sz w:val="24"/>
          <w:szCs w:val="24"/>
        </w:rPr>
        <w:t xml:space="preserve"> the full range of elements which form the visitor journey.  This would include key aspects such as </w:t>
      </w:r>
      <w:r>
        <w:rPr>
          <w:rFonts w:ascii="Calibri" w:eastAsia="Calibri" w:hAnsi="Calibri" w:cs="Calibri"/>
          <w:sz w:val="24"/>
          <w:szCs w:val="24"/>
        </w:rPr>
        <w:t xml:space="preserve">access, </w:t>
      </w:r>
      <w:r w:rsidR="004A03DD">
        <w:rPr>
          <w:rFonts w:ascii="Calibri" w:eastAsia="Calibri" w:hAnsi="Calibri" w:cs="Calibri"/>
          <w:sz w:val="24"/>
          <w:szCs w:val="24"/>
        </w:rPr>
        <w:t xml:space="preserve">sense of arrival, patterns of </w:t>
      </w:r>
      <w:r>
        <w:rPr>
          <w:rFonts w:ascii="Calibri" w:eastAsia="Calibri" w:hAnsi="Calibri" w:cs="Calibri"/>
          <w:sz w:val="24"/>
          <w:szCs w:val="24"/>
        </w:rPr>
        <w:t>visitor flow</w:t>
      </w:r>
      <w:r w:rsidR="004A03DD">
        <w:rPr>
          <w:rFonts w:ascii="Calibri" w:eastAsia="Calibri" w:hAnsi="Calibri" w:cs="Calibri"/>
          <w:sz w:val="24"/>
          <w:szCs w:val="24"/>
        </w:rPr>
        <w:t xml:space="preserve"> 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A03DD">
        <w:rPr>
          <w:rFonts w:ascii="Calibri" w:eastAsia="Calibri" w:hAnsi="Calibri" w:cs="Calibri"/>
          <w:sz w:val="24"/>
          <w:szCs w:val="24"/>
        </w:rPr>
        <w:t xml:space="preserve">customer engagement as well as product elements such as </w:t>
      </w:r>
      <w:r>
        <w:rPr>
          <w:rFonts w:ascii="Calibri" w:eastAsia="Calibri" w:hAnsi="Calibri" w:cs="Calibri"/>
          <w:sz w:val="24"/>
          <w:szCs w:val="24"/>
        </w:rPr>
        <w:t xml:space="preserve">the type and range of </w:t>
      </w:r>
      <w:r w:rsidR="004A03DD">
        <w:rPr>
          <w:rFonts w:ascii="Calibri" w:eastAsia="Calibri" w:hAnsi="Calibri" w:cs="Calibri"/>
          <w:sz w:val="24"/>
          <w:szCs w:val="24"/>
        </w:rPr>
        <w:t xml:space="preserve"> interpretation and </w:t>
      </w:r>
      <w:r>
        <w:rPr>
          <w:rFonts w:ascii="Calibri" w:eastAsia="Calibri" w:hAnsi="Calibri" w:cs="Calibri"/>
          <w:sz w:val="24"/>
          <w:szCs w:val="24"/>
        </w:rPr>
        <w:t>exhibits.</w:t>
      </w:r>
    </w:p>
    <w:p w:rsidR="00C36012" w:rsidRDefault="00C36012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41695E" w:rsidTr="00C36012">
        <w:trPr>
          <w:trHeight w:val="471"/>
        </w:trPr>
        <w:tc>
          <w:tcPr>
            <w:tcW w:w="4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95E" w:rsidRDefault="001F3577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>Strengths</w:t>
            </w:r>
          </w:p>
        </w:tc>
        <w:tc>
          <w:tcPr>
            <w:tcW w:w="4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95E" w:rsidRDefault="001F3577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>Weaknesses</w:t>
            </w:r>
          </w:p>
        </w:tc>
      </w:tr>
      <w:tr w:rsidR="00C36012" w:rsidRPr="00E2508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012" w:rsidRPr="00E25081" w:rsidRDefault="00C3601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  <w:r w:rsidRPr="00E25081">
              <w:rPr>
                <w:i/>
                <w:color w:val="0070C0"/>
                <w:sz w:val="20"/>
                <w:szCs w:val="20"/>
              </w:rPr>
              <w:t>The visitor experience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  <w:r w:rsidRPr="00E25081">
              <w:rPr>
                <w:i/>
                <w:color w:val="0070C0"/>
                <w:sz w:val="20"/>
                <w:szCs w:val="20"/>
              </w:rPr>
              <w:t>The visitor experience</w:t>
            </w: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</w:tc>
      </w:tr>
      <w:tr w:rsidR="00C36012" w:rsidRPr="00E2508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012" w:rsidRPr="00E25081" w:rsidRDefault="00C3601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  <w:r w:rsidRPr="00E25081">
              <w:rPr>
                <w:i/>
                <w:color w:val="0070C0"/>
                <w:sz w:val="20"/>
                <w:szCs w:val="20"/>
              </w:rPr>
              <w:t>Market factors</w:t>
            </w:r>
          </w:p>
          <w:p w:rsidR="00C36012" w:rsidRPr="00E25081" w:rsidRDefault="00C3601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  <w:p w:rsidR="00C36012" w:rsidRPr="00E25081" w:rsidRDefault="00C3601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  <w:p w:rsidR="00C36012" w:rsidRPr="00E25081" w:rsidRDefault="00C3601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  <w:p w:rsidR="00C36012" w:rsidRPr="00E25081" w:rsidRDefault="00C3601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012" w:rsidRPr="00E25081" w:rsidRDefault="00C36012" w:rsidP="00C3601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  <w:r w:rsidRPr="00E25081">
              <w:rPr>
                <w:i/>
                <w:color w:val="0070C0"/>
                <w:sz w:val="20"/>
                <w:szCs w:val="20"/>
              </w:rPr>
              <w:t>Market factors</w:t>
            </w:r>
          </w:p>
        </w:tc>
      </w:tr>
      <w:tr w:rsidR="00C36012" w:rsidRPr="00E2508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012" w:rsidRPr="00E25081" w:rsidRDefault="00C36012" w:rsidP="00C3601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  <w:r w:rsidRPr="00E25081">
              <w:rPr>
                <w:i/>
                <w:color w:val="0070C0"/>
                <w:sz w:val="20"/>
                <w:szCs w:val="20"/>
              </w:rPr>
              <w:t>Operational considerations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  <w:r w:rsidRPr="00E25081">
              <w:rPr>
                <w:i/>
                <w:color w:val="0070C0"/>
                <w:sz w:val="20"/>
                <w:szCs w:val="20"/>
              </w:rPr>
              <w:t>Operational considerations</w:t>
            </w: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</w:tc>
      </w:tr>
      <w:tr w:rsidR="00C36012" w:rsidRPr="00E2508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012" w:rsidRPr="00E25081" w:rsidRDefault="00C3601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  <w:r w:rsidRPr="00E25081">
              <w:rPr>
                <w:i/>
                <w:color w:val="0070C0"/>
                <w:sz w:val="20"/>
                <w:szCs w:val="20"/>
              </w:rPr>
              <w:t>Marketing dynamics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  <w:r w:rsidRPr="00E25081">
              <w:rPr>
                <w:i/>
                <w:color w:val="0070C0"/>
                <w:sz w:val="20"/>
                <w:szCs w:val="20"/>
              </w:rPr>
              <w:t>Marketing dynamics</w:t>
            </w: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</w:tc>
      </w:tr>
      <w:tr w:rsidR="00C36012">
        <w:tc>
          <w:tcPr>
            <w:tcW w:w="4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012" w:rsidRDefault="00C36012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>Opportunities</w:t>
            </w:r>
          </w:p>
        </w:tc>
        <w:tc>
          <w:tcPr>
            <w:tcW w:w="4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012" w:rsidRDefault="00C36012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>Threats</w:t>
            </w:r>
          </w:p>
        </w:tc>
      </w:tr>
      <w:tr w:rsidR="00C36012" w:rsidRPr="00E2508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  <w:r w:rsidRPr="00E25081">
              <w:rPr>
                <w:i/>
                <w:color w:val="0070C0"/>
                <w:sz w:val="20"/>
                <w:szCs w:val="20"/>
              </w:rPr>
              <w:t>The visitor experience</w:t>
            </w: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  <w:r w:rsidRPr="00E25081">
              <w:rPr>
                <w:i/>
                <w:color w:val="0070C0"/>
                <w:sz w:val="20"/>
                <w:szCs w:val="20"/>
              </w:rPr>
              <w:t>The visitor experience</w:t>
            </w:r>
          </w:p>
        </w:tc>
      </w:tr>
      <w:tr w:rsidR="00C36012" w:rsidRPr="00E2508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  <w:r w:rsidRPr="00E25081">
              <w:rPr>
                <w:i/>
                <w:color w:val="0070C0"/>
                <w:sz w:val="20"/>
                <w:szCs w:val="20"/>
              </w:rPr>
              <w:t>Market factors</w:t>
            </w: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  <w:r w:rsidRPr="00E25081">
              <w:rPr>
                <w:i/>
                <w:color w:val="0070C0"/>
                <w:sz w:val="20"/>
                <w:szCs w:val="20"/>
              </w:rPr>
              <w:t>Market factors</w:t>
            </w: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</w:tc>
      </w:tr>
      <w:tr w:rsidR="00C36012" w:rsidRPr="00E2508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012" w:rsidRPr="00E25081" w:rsidRDefault="00C36012" w:rsidP="00C3601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  <w:r w:rsidRPr="00E25081">
              <w:rPr>
                <w:i/>
                <w:color w:val="0070C0"/>
                <w:sz w:val="20"/>
                <w:szCs w:val="20"/>
              </w:rPr>
              <w:lastRenderedPageBreak/>
              <w:t>Operational considerations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  <w:r w:rsidRPr="00E25081">
              <w:rPr>
                <w:i/>
                <w:color w:val="0070C0"/>
                <w:sz w:val="20"/>
                <w:szCs w:val="20"/>
              </w:rPr>
              <w:t>Operational considerations</w:t>
            </w: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</w:tc>
      </w:tr>
      <w:tr w:rsidR="00C36012" w:rsidRPr="00E2508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  <w:r w:rsidRPr="00E25081">
              <w:rPr>
                <w:i/>
                <w:color w:val="0070C0"/>
                <w:sz w:val="20"/>
                <w:szCs w:val="20"/>
              </w:rPr>
              <w:t>Marketing dynamics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  <w:r w:rsidRPr="00E25081">
              <w:rPr>
                <w:i/>
                <w:color w:val="0070C0"/>
                <w:sz w:val="20"/>
                <w:szCs w:val="20"/>
              </w:rPr>
              <w:t>Marketing dynamics</w:t>
            </w: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  <w:p w:rsidR="00C36012" w:rsidRPr="00E25081" w:rsidRDefault="00C36012" w:rsidP="00597642">
            <w:pPr>
              <w:pStyle w:val="normal0"/>
              <w:widowControl w:val="0"/>
              <w:spacing w:line="240" w:lineRule="auto"/>
              <w:rPr>
                <w:i/>
                <w:color w:val="0070C0"/>
                <w:sz w:val="20"/>
                <w:szCs w:val="20"/>
              </w:rPr>
            </w:pPr>
          </w:p>
        </w:tc>
      </w:tr>
    </w:tbl>
    <w:p w:rsidR="0041695E" w:rsidRDefault="0041695E">
      <w:pPr>
        <w:pStyle w:val="normal0"/>
      </w:pPr>
    </w:p>
    <w:p w:rsidR="0041695E" w:rsidRDefault="0041695E">
      <w:pPr>
        <w:pStyle w:val="normal0"/>
      </w:pPr>
    </w:p>
    <w:sectPr w:rsidR="0041695E" w:rsidSect="004169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22" w:rsidRDefault="007C5122" w:rsidP="0041695E">
      <w:pPr>
        <w:spacing w:line="240" w:lineRule="auto"/>
      </w:pPr>
      <w:r>
        <w:separator/>
      </w:r>
    </w:p>
  </w:endnote>
  <w:endnote w:type="continuationSeparator" w:id="0">
    <w:p w:rsidR="007C5122" w:rsidRDefault="007C5122" w:rsidP="00416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5E" w:rsidRDefault="00CD3EE6">
    <w:pPr>
      <w:pStyle w:val="normal0"/>
    </w:pPr>
    <w:hyperlink r:id="rId1">
      <w:r w:rsidR="001F3577">
        <w:rPr>
          <w:rFonts w:ascii="Calibri" w:eastAsia="Calibri" w:hAnsi="Calibri" w:cs="Calibri"/>
          <w:color w:val="1155CC"/>
          <w:sz w:val="20"/>
          <w:szCs w:val="20"/>
          <w:u w:val="single"/>
        </w:rPr>
        <w:t>www.pslplan.co.uk</w:t>
      </w:r>
    </w:hyperlink>
    <w:r w:rsidR="001F3577">
      <w:rPr>
        <w:rFonts w:ascii="Calibri" w:eastAsia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22" w:rsidRDefault="007C5122" w:rsidP="0041695E">
      <w:pPr>
        <w:spacing w:line="240" w:lineRule="auto"/>
      </w:pPr>
      <w:r>
        <w:separator/>
      </w:r>
    </w:p>
  </w:footnote>
  <w:footnote w:type="continuationSeparator" w:id="0">
    <w:p w:rsidR="007C5122" w:rsidRDefault="007C5122" w:rsidP="004169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5E" w:rsidRDefault="001F3577">
    <w:pPr>
      <w:pStyle w:val="normal0"/>
    </w:pPr>
    <w:r>
      <w:rPr>
        <w:noProof/>
      </w:rPr>
      <w:drawing>
        <wp:inline distT="114300" distB="114300" distL="114300" distR="114300">
          <wp:extent cx="2483369" cy="690563"/>
          <wp:effectExtent l="0" t="0" r="0" b="0"/>
          <wp:docPr id="1" name="image01.png" descr="PSCL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PSCLv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3369" cy="690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4AF"/>
    <w:multiLevelType w:val="multilevel"/>
    <w:tmpl w:val="A9DE3C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C4375AE"/>
    <w:multiLevelType w:val="multilevel"/>
    <w:tmpl w:val="BF4441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54747C6"/>
    <w:multiLevelType w:val="multilevel"/>
    <w:tmpl w:val="84E6ED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3DE6236"/>
    <w:multiLevelType w:val="multilevel"/>
    <w:tmpl w:val="DB1C6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95E"/>
    <w:rsid w:val="001475ED"/>
    <w:rsid w:val="001F3577"/>
    <w:rsid w:val="002D0BE5"/>
    <w:rsid w:val="002E2C55"/>
    <w:rsid w:val="0032203D"/>
    <w:rsid w:val="003B6881"/>
    <w:rsid w:val="0041695E"/>
    <w:rsid w:val="004A03DD"/>
    <w:rsid w:val="007C5122"/>
    <w:rsid w:val="00C36012"/>
    <w:rsid w:val="00C50754"/>
    <w:rsid w:val="00CD3EE6"/>
    <w:rsid w:val="00E25081"/>
    <w:rsid w:val="00E5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81"/>
  </w:style>
  <w:style w:type="paragraph" w:styleId="Heading1">
    <w:name w:val="heading 1"/>
    <w:basedOn w:val="normal0"/>
    <w:next w:val="normal0"/>
    <w:rsid w:val="0041695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1695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1695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1695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1695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1695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1695E"/>
  </w:style>
  <w:style w:type="paragraph" w:styleId="Title">
    <w:name w:val="Title"/>
    <w:basedOn w:val="normal0"/>
    <w:next w:val="normal0"/>
    <w:rsid w:val="0041695E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41695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4169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169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C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lpla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2015-12-04T15:40:00Z</dcterms:created>
  <dcterms:modified xsi:type="dcterms:W3CDTF">2015-12-04T15:40:00Z</dcterms:modified>
</cp:coreProperties>
</file>